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21D2FDD7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BF78CD" w:rsidRPr="00BF78CD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R4-241165</w:t>
      </w:r>
      <w:r w:rsidR="00BF78CD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9</w:t>
      </w:r>
    </w:p>
    <w:p w14:paraId="3CBBCC8A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532E5A5A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467078" w:rsidRPr="00467078">
        <w:rPr>
          <w:rFonts w:ascii="Arial" w:eastAsia="Calibri" w:hAnsi="Arial" w:cs="Arial"/>
          <w:b/>
          <w:bCs/>
          <w:sz w:val="24"/>
          <w:lang w:val="en-US"/>
        </w:rPr>
        <w:t xml:space="preserve">Discussion on HPUE </w:t>
      </w:r>
      <w:r w:rsidR="00467078">
        <w:rPr>
          <w:rFonts w:ascii="Arial" w:eastAsia="Calibri" w:hAnsi="Arial" w:cs="Arial"/>
          <w:b/>
          <w:bCs/>
          <w:sz w:val="24"/>
          <w:lang w:val="en-US"/>
        </w:rPr>
        <w:t xml:space="preserve">TX requirements </w:t>
      </w:r>
      <w:r w:rsidR="00467078" w:rsidRPr="00467078">
        <w:rPr>
          <w:rFonts w:ascii="Arial" w:eastAsia="Calibri" w:hAnsi="Arial" w:cs="Arial"/>
          <w:b/>
          <w:bCs/>
          <w:sz w:val="24"/>
          <w:lang w:val="en-US"/>
        </w:rPr>
        <w:t>for NR NTN</w:t>
      </w:r>
    </w:p>
    <w:p w14:paraId="0BA6D0AF" w14:textId="5B632898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67078">
        <w:rPr>
          <w:rFonts w:ascii="Arial" w:eastAsia="MS Mincho" w:hAnsi="Arial" w:cs="Arial"/>
          <w:b/>
          <w:bCs/>
          <w:sz w:val="24"/>
          <w:szCs w:val="20"/>
          <w:lang w:val="en-US"/>
        </w:rPr>
        <w:t>8.8.2.2</w:t>
      </w:r>
    </w:p>
    <w:p w14:paraId="19A08D9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8A26399" w14:textId="6B956B35" w:rsidR="00D9052A" w:rsidRPr="00614DD8" w:rsidRDefault="00D9052A" w:rsidP="00D9052A">
      <w:pPr>
        <w:rPr>
          <w:lang w:val="en-US"/>
        </w:rPr>
      </w:pPr>
      <w:r>
        <w:rPr>
          <w:lang w:val="en-US"/>
        </w:rPr>
        <w:t>In this paper, we provide our views on the s</w:t>
      </w:r>
      <w:r w:rsidRPr="00E721CF">
        <w:rPr>
          <w:lang w:val="en-US"/>
        </w:rPr>
        <w:t>uppor</w:t>
      </w:r>
      <w:r>
        <w:rPr>
          <w:lang w:val="en-US"/>
        </w:rPr>
        <w:t>t</w:t>
      </w:r>
      <w:r w:rsidRPr="00E721CF">
        <w:rPr>
          <w:rFonts w:eastAsia="Malgun Gothic"/>
          <w:lang w:val="en-US" w:eastAsia="ko-KR"/>
        </w:rPr>
        <w:t xml:space="preserve"> </w:t>
      </w:r>
      <w:r w:rsidRPr="009431DD">
        <w:rPr>
          <w:rFonts w:eastAsia="Malgun Gothic"/>
          <w:lang w:val="en-US" w:eastAsia="ko-KR"/>
        </w:rPr>
        <w:t>of</w:t>
      </w:r>
      <w:r w:rsidR="0034066C">
        <w:rPr>
          <w:rFonts w:eastAsia="Malgun Gothic"/>
          <w:lang w:val="en-US" w:eastAsia="ko-KR"/>
        </w:rPr>
        <w:t xml:space="preserve"> </w:t>
      </w:r>
      <w:proofErr w:type="gramStart"/>
      <w:r w:rsidR="0034066C">
        <w:rPr>
          <w:rFonts w:eastAsia="Malgun Gothic"/>
          <w:lang w:val="en-US" w:eastAsia="ko-KR"/>
        </w:rPr>
        <w:t>high power</w:t>
      </w:r>
      <w:proofErr w:type="gramEnd"/>
      <w:r w:rsidR="0034066C">
        <w:rPr>
          <w:rFonts w:eastAsia="Malgun Gothic"/>
          <w:lang w:val="en-US" w:eastAsia="ko-KR"/>
        </w:rPr>
        <w:t xml:space="preserve"> UE RF requirements for NR NTN.</w:t>
      </w:r>
      <w:r>
        <w:rPr>
          <w:rFonts w:eastAsia="Malgun Gothic"/>
          <w:lang w:val="en-US" w:eastAsia="ko-KR"/>
        </w:rPr>
        <w:t xml:space="preserve"> </w:t>
      </w:r>
      <w:r w:rsidR="00BD3615">
        <w:rPr>
          <w:rFonts w:eastAsia="Malgun Gothic"/>
          <w:lang w:val="en-US" w:eastAsia="ko-KR"/>
        </w:rPr>
        <w:t xml:space="preserve">Core parts of the </w:t>
      </w:r>
      <w:r>
        <w:rPr>
          <w:rFonts w:eastAsia="Malgun Gothic"/>
          <w:lang w:val="en-US" w:eastAsia="ko-KR"/>
        </w:rPr>
        <w:t>ob</w:t>
      </w:r>
      <w:r>
        <w:rPr>
          <w:lang w:val="en-US"/>
        </w:rPr>
        <w:t>jectives mentioned in the WID are copied below for ease of reading</w:t>
      </w:r>
      <w:r w:rsidR="00A81EE5">
        <w:rPr>
          <w:lang w:val="en-US"/>
        </w:rPr>
        <w:t xml:space="preserve"> </w:t>
      </w:r>
      <w:r w:rsidR="00A81EE5">
        <w:rPr>
          <w:lang w:val="en-US"/>
        </w:rPr>
        <w:fldChar w:fldCharType="begin"/>
      </w:r>
      <w:r w:rsidR="00A81EE5">
        <w:rPr>
          <w:lang w:val="en-US"/>
        </w:rPr>
        <w:instrText xml:space="preserve"> REF _Ref173508276 \r \h </w:instrText>
      </w:r>
      <w:r w:rsidR="00A81EE5">
        <w:rPr>
          <w:lang w:val="en-US"/>
        </w:rPr>
      </w:r>
      <w:r w:rsidR="00A81EE5">
        <w:rPr>
          <w:lang w:val="en-US"/>
        </w:rPr>
        <w:fldChar w:fldCharType="separate"/>
      </w:r>
      <w:r w:rsidR="00A81EE5">
        <w:rPr>
          <w:lang w:val="en-US"/>
        </w:rPr>
        <w:t>[1]</w:t>
      </w:r>
      <w:r w:rsidR="00A81EE5">
        <w:rPr>
          <w:lang w:val="en-US"/>
        </w:rPr>
        <w:fldChar w:fldCharType="end"/>
      </w:r>
      <w:r>
        <w:rPr>
          <w:lang w:val="en-US"/>
        </w:rPr>
        <w:t>.</w:t>
      </w:r>
    </w:p>
    <w:p w14:paraId="08D3D308" w14:textId="77777777" w:rsidR="00D9052A" w:rsidRPr="00614DD8" w:rsidRDefault="00D9052A" w:rsidP="00D9052A">
      <w:pPr>
        <w:rPr>
          <w:lang w:val="en-US"/>
        </w:rPr>
      </w:pPr>
      <w:r>
        <w:rPr>
          <w:lang w:val="en-US"/>
        </w:rPr>
        <w:t>Objectives</w:t>
      </w:r>
      <w:r w:rsidRPr="00614DD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9052A" w:rsidRPr="00614DD8" w14:paraId="2D56DA99" w14:textId="77777777">
        <w:tc>
          <w:tcPr>
            <w:tcW w:w="9617" w:type="dxa"/>
          </w:tcPr>
          <w:p w14:paraId="6C59EAF4" w14:textId="77777777" w:rsidR="004264AA" w:rsidRPr="004264AA" w:rsidRDefault="004264AA" w:rsidP="004264A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bookmarkStart w:id="4" w:name="_Hlk166226955"/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Conduct the coexistence analysis based on TR 38.863 for the above example bands and corresponding power classes</w:t>
            </w:r>
          </w:p>
          <w:p w14:paraId="509771F3" w14:textId="77777777" w:rsidR="004264AA" w:rsidRPr="004264AA" w:rsidRDefault="004264AA" w:rsidP="004264A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Evaluate the impact on the uplink performance of TN (Terrestrial network)</w:t>
            </w:r>
          </w:p>
          <w:p w14:paraId="5CFB52EA" w14:textId="77777777" w:rsidR="004264AA" w:rsidRPr="004264AA" w:rsidRDefault="004264AA" w:rsidP="004264A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Example bands include bands n256 and 256, n255 and 255</w:t>
            </w:r>
          </w:p>
          <w:p w14:paraId="30A8BA78" w14:textId="77777777" w:rsidR="004264AA" w:rsidRPr="004264AA" w:rsidRDefault="004264AA" w:rsidP="004264A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PC2, PC1.5 (for NR-NTN only) and PC1 will be evaluated for ACLR and ACS</w:t>
            </w:r>
          </w:p>
          <w:p w14:paraId="540650CE" w14:textId="77777777" w:rsidR="004264AA" w:rsidRPr="004264AA" w:rsidRDefault="004264AA" w:rsidP="004264A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For NR-NTN and IoT-NTN: coexistence studies shall be carried out under the same conditions, including geographical separation between NTN UE and Terrestrial Networks (TN), as the co-existence studies in Rel-17 and Rel-18</w:t>
            </w:r>
          </w:p>
          <w:p w14:paraId="1156C60E" w14:textId="77777777" w:rsidR="004264AA" w:rsidRPr="004264AA" w:rsidRDefault="004264AA" w:rsidP="004264A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 xml:space="preserve">Specify high power UE (HPUE) for NR-NTN (Non-Terrestrial Networks) and IoT-NTN (NB-IoT and </w:t>
            </w:r>
            <w:proofErr w:type="spellStart"/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eMTC</w:t>
            </w:r>
            <w:proofErr w:type="spellEnd"/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 xml:space="preserve"> based NTN) in FR1-NTN bands and the corresponding LTE NTN bands for the single uplink (UL) carrier scenario</w:t>
            </w:r>
          </w:p>
          <w:p w14:paraId="48F8CB0C" w14:textId="77777777" w:rsidR="004264AA" w:rsidRPr="004264AA" w:rsidRDefault="004264AA" w:rsidP="004264A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Support UE with power class 2 (PC2, 26 dBm) that applies to both handheld and non-handheld based on the co-existence study.</w:t>
            </w:r>
          </w:p>
          <w:p w14:paraId="0B925B89" w14:textId="77777777" w:rsidR="004264AA" w:rsidRPr="004264AA" w:rsidRDefault="004264AA" w:rsidP="004264A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Support other power classes based on the co-existence and feasibility study</w:t>
            </w:r>
          </w:p>
          <w:p w14:paraId="08CE57E3" w14:textId="77777777" w:rsidR="004264AA" w:rsidRPr="004264AA" w:rsidRDefault="004264AA" w:rsidP="004264A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Non-</w:t>
            </w:r>
            <w:proofErr w:type="gramStart"/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hand held</w:t>
            </w:r>
            <w:proofErr w:type="gramEnd"/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 xml:space="preserve"> UE is prioritized</w:t>
            </w:r>
          </w:p>
          <w:p w14:paraId="6F0E4D05" w14:textId="77777777" w:rsidR="004264AA" w:rsidRPr="004264AA" w:rsidRDefault="004264AA" w:rsidP="004264A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Specify RF requirements for all considered power classes for NR-NTN and IoT-NTN in FR1-NTN bands and the corresponding LTE NTN bands</w:t>
            </w:r>
          </w:p>
          <w:p w14:paraId="12ADA371" w14:textId="77777777" w:rsidR="004264AA" w:rsidRPr="004264AA" w:rsidRDefault="004264AA" w:rsidP="004264A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Necessary Tx requirements, at least including</w:t>
            </w:r>
          </w:p>
          <w:p w14:paraId="2A63EBD0" w14:textId="77777777" w:rsidR="004264AA" w:rsidRPr="004264AA" w:rsidRDefault="004264AA" w:rsidP="004264AA">
            <w:pPr>
              <w:numPr>
                <w:ilvl w:val="3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Investigate and if necessary, specify the solution to address potential SAR (Specific Absorption Rate restriction) requirements for handheld UE</w:t>
            </w:r>
          </w:p>
          <w:p w14:paraId="565A4229" w14:textId="77777777" w:rsidR="004264AA" w:rsidRPr="004264AA" w:rsidRDefault="004264AA" w:rsidP="004264AA">
            <w:pPr>
              <w:numPr>
                <w:ilvl w:val="3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Specify MPR and A-MPR for the example bands considering the regulation for the corresponding bands, if necessary</w:t>
            </w:r>
          </w:p>
          <w:p w14:paraId="5FA8F031" w14:textId="77777777" w:rsidR="004264AA" w:rsidRPr="004264AA" w:rsidRDefault="004264AA" w:rsidP="004264A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Necessary Rx requirements, at least including</w:t>
            </w:r>
          </w:p>
          <w:p w14:paraId="6F1364B6" w14:textId="77777777" w:rsidR="004264AA" w:rsidRPr="004264AA" w:rsidRDefault="004264AA" w:rsidP="004264AA">
            <w:pPr>
              <w:numPr>
                <w:ilvl w:val="3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Specify the RSD requirements on the example bands, if necessary</w:t>
            </w:r>
          </w:p>
          <w:p w14:paraId="0512626E" w14:textId="7434CCCB" w:rsidR="00D9052A" w:rsidRPr="004264AA" w:rsidRDefault="004264AA" w:rsidP="004264A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4264AA">
              <w:rPr>
                <w:rFonts w:eastAsia="Times New Roman" w:cs="Times New Roman"/>
                <w:szCs w:val="20"/>
                <w:lang w:val="en-US" w:eastAsia="en-GB"/>
              </w:rPr>
              <w:t>Specify the necessary signaling to support the above objectives</w:t>
            </w:r>
          </w:p>
        </w:tc>
      </w:tr>
      <w:bookmarkEnd w:id="4"/>
    </w:tbl>
    <w:p w14:paraId="632E5746" w14:textId="77777777" w:rsidR="00D9052A" w:rsidRDefault="00D9052A" w:rsidP="00D9052A">
      <w:pPr>
        <w:rPr>
          <w:lang w:val="en-US"/>
        </w:rPr>
      </w:pPr>
    </w:p>
    <w:p w14:paraId="1835C287" w14:textId="77777777" w:rsidR="003B659E" w:rsidRPr="00614DD8" w:rsidRDefault="003B659E" w:rsidP="00AE56B1">
      <w:pPr>
        <w:pStyle w:val="RAN4H1"/>
        <w:rPr>
          <w:lang w:val="en-US"/>
        </w:rPr>
      </w:pPr>
      <w:bookmarkStart w:id="5" w:name="_Toc116995842"/>
      <w:r w:rsidRPr="00614DD8">
        <w:rPr>
          <w:lang w:val="en-US"/>
        </w:rPr>
        <w:t>Discussion</w:t>
      </w:r>
      <w:bookmarkEnd w:id="5"/>
    </w:p>
    <w:p w14:paraId="1F9474B3" w14:textId="02FC06E4" w:rsidR="007C562D" w:rsidRDefault="001D5D69" w:rsidP="005C0E6E">
      <w:pPr>
        <w:spacing w:line="257" w:lineRule="auto"/>
      </w:pPr>
      <w:bookmarkStart w:id="6" w:name="_Hlk173501164"/>
      <w:r>
        <w:t>Co-</w:t>
      </w:r>
      <w:r w:rsidR="009462CF">
        <w:t>existence</w:t>
      </w:r>
      <w:r>
        <w:t xml:space="preserve"> </w:t>
      </w:r>
      <w:r w:rsidR="009462CF">
        <w:t>simulations</w:t>
      </w:r>
      <w:r>
        <w:t xml:space="preserve"> are required for </w:t>
      </w:r>
      <w:r w:rsidR="006511DF">
        <w:t xml:space="preserve">evaluating the impact on uplink performance of TN network by the high power NTN UEs. </w:t>
      </w:r>
      <w:r w:rsidR="005C0E6E">
        <w:t xml:space="preserve">A </w:t>
      </w:r>
      <w:r w:rsidR="00FE19AC">
        <w:t>significant amount of</w:t>
      </w:r>
      <w:r w:rsidR="005C0E6E">
        <w:t xml:space="preserve"> work for co-existence was done and is captured in </w:t>
      </w:r>
      <w:r w:rsidR="005C0E6E">
        <w:fldChar w:fldCharType="begin"/>
      </w:r>
      <w:r w:rsidR="005C0E6E">
        <w:instrText xml:space="preserve"> REF _Ref166227081 \r \h </w:instrText>
      </w:r>
      <w:r w:rsidR="005C0E6E">
        <w:fldChar w:fldCharType="separate"/>
      </w:r>
      <w:r w:rsidR="005C0E6E">
        <w:t>[2]</w:t>
      </w:r>
      <w:r w:rsidR="005C0E6E">
        <w:fldChar w:fldCharType="end"/>
      </w:r>
      <w:r w:rsidR="005C0E6E">
        <w:t xml:space="preserve">. </w:t>
      </w:r>
      <w:r w:rsidR="00D70688">
        <w:t>Altho</w:t>
      </w:r>
      <w:r w:rsidR="00522356">
        <w:t xml:space="preserve">ugh, the scenarios will </w:t>
      </w:r>
      <w:r w:rsidR="003B0B80">
        <w:t xml:space="preserve">be limited </w:t>
      </w:r>
      <w:r w:rsidR="00D05B6C">
        <w:t xml:space="preserve">as the </w:t>
      </w:r>
      <w:r w:rsidR="00504DA4">
        <w:t xml:space="preserve">WID </w:t>
      </w:r>
      <w:r w:rsidR="00035932">
        <w:t xml:space="preserve">only </w:t>
      </w:r>
      <w:r w:rsidR="00504DA4">
        <w:t xml:space="preserve">specifies </w:t>
      </w:r>
      <w:r w:rsidR="00D05B6C">
        <w:t xml:space="preserve">impact </w:t>
      </w:r>
      <w:r w:rsidR="00E21459">
        <w:t xml:space="preserve">on the uplink performance of TN i.e., </w:t>
      </w:r>
      <w:r w:rsidR="002033CD">
        <w:t>victim being TN UL only</w:t>
      </w:r>
      <w:r w:rsidR="006D1BA9">
        <w:t xml:space="preserve"> for PC2 and PC1.5</w:t>
      </w:r>
      <w:r w:rsidR="002033CD">
        <w:t xml:space="preserve">. </w:t>
      </w:r>
      <w:r w:rsidR="006D1BA9">
        <w:t>Regarding PC1, WID specifies evaluation for both ACLR and ACS</w:t>
      </w:r>
      <w:r w:rsidR="0003578B">
        <w:t xml:space="preserve">, thus </w:t>
      </w:r>
      <w:r w:rsidR="003D0ECA">
        <w:t>addit</w:t>
      </w:r>
      <w:r w:rsidR="00FF16CA">
        <w:t>i</w:t>
      </w:r>
      <w:r w:rsidR="003D0ECA">
        <w:t>o</w:t>
      </w:r>
      <w:r w:rsidR="00FF16CA">
        <w:t>nal</w:t>
      </w:r>
      <w:r w:rsidR="0003578B">
        <w:t xml:space="preserve"> scenarios </w:t>
      </w:r>
      <w:r w:rsidR="00FF16CA">
        <w:t>with NR</w:t>
      </w:r>
      <w:r w:rsidR="00704C09">
        <w:t>-</w:t>
      </w:r>
      <w:r w:rsidR="00FF16CA">
        <w:t xml:space="preserve">NTN </w:t>
      </w:r>
      <w:r w:rsidR="00704C09">
        <w:t xml:space="preserve">and IoT-NTN </w:t>
      </w:r>
      <w:r w:rsidR="00850685">
        <w:t xml:space="preserve">as the victim </w:t>
      </w:r>
      <w:r w:rsidR="00586330">
        <w:t>must</w:t>
      </w:r>
      <w:r w:rsidR="00704C09">
        <w:t xml:space="preserve"> be considered. </w:t>
      </w:r>
    </w:p>
    <w:p w14:paraId="594DFC78" w14:textId="3AD42EF9" w:rsidR="007C562D" w:rsidRDefault="007C562D" w:rsidP="00E3512E">
      <w:pPr>
        <w:pStyle w:val="RAN4observation0"/>
      </w:pPr>
      <w:bookmarkStart w:id="7" w:name="_Toc174105053"/>
      <w:r>
        <w:t xml:space="preserve">The WID </w:t>
      </w:r>
      <w:r w:rsidRPr="007C562D">
        <w:t>specifies evaluation for both ACLR and ACS, thus additional scenarios with NR-NTN and IoT-NTN as the victim must be considered</w:t>
      </w:r>
      <w:r>
        <w:t>.</w:t>
      </w:r>
      <w:bookmarkEnd w:id="7"/>
    </w:p>
    <w:p w14:paraId="41349F0F" w14:textId="3D3323FE" w:rsidR="005C0E6E" w:rsidRDefault="001226F8" w:rsidP="005C0E6E">
      <w:pPr>
        <w:spacing w:line="257" w:lineRule="auto"/>
      </w:pPr>
      <w:r>
        <w:lastRenderedPageBreak/>
        <w:t>In general</w:t>
      </w:r>
      <w:r w:rsidR="00C6352A">
        <w:t>,</w:t>
      </w:r>
      <w:r>
        <w:t xml:space="preserve"> t</w:t>
      </w:r>
      <w:r w:rsidR="005C0E6E">
        <w:t xml:space="preserve">he simulation assumptions, and methodology can be reused from section 6 of </w:t>
      </w:r>
      <w:r w:rsidR="005C0E6E">
        <w:fldChar w:fldCharType="begin"/>
      </w:r>
      <w:r w:rsidR="005C0E6E">
        <w:instrText xml:space="preserve"> REF _Ref166227081 \r \h </w:instrText>
      </w:r>
      <w:r w:rsidR="005C0E6E">
        <w:fldChar w:fldCharType="separate"/>
      </w:r>
      <w:r w:rsidR="005C0E6E">
        <w:t>[2]</w:t>
      </w:r>
      <w:r w:rsidR="005C0E6E">
        <w:fldChar w:fldCharType="end"/>
      </w:r>
      <w:r w:rsidR="005C0E6E">
        <w:t>.</w:t>
      </w:r>
    </w:p>
    <w:p w14:paraId="14D27474" w14:textId="77777777" w:rsidR="00F37874" w:rsidRDefault="006B6702" w:rsidP="00F37874">
      <w:pPr>
        <w:pStyle w:val="RAN4proposal"/>
      </w:pPr>
      <w:bookmarkStart w:id="8" w:name="_Toc174105054"/>
      <w:bookmarkStart w:id="9" w:name="_Toc166509892"/>
      <w:bookmarkEnd w:id="6"/>
      <w:r>
        <w:t>Regarding TN-NTN co-existence</w:t>
      </w:r>
      <w:r w:rsidR="00A25BE7">
        <w:t xml:space="preserve"> analysis</w:t>
      </w:r>
      <w:r w:rsidR="00FD496E">
        <w:t xml:space="preserve"> for PC2 and PC1.5</w:t>
      </w:r>
      <w:r>
        <w:t>, a</w:t>
      </w:r>
      <w:r w:rsidR="007616D8">
        <w:t xml:space="preserve">gree to limit </w:t>
      </w:r>
      <w:r w:rsidR="00B5266B">
        <w:t>the simulation scenarios to one with TN UL being the victim.</w:t>
      </w:r>
      <w:bookmarkEnd w:id="8"/>
      <w:r w:rsidR="00F37874">
        <w:t xml:space="preserve"> </w:t>
      </w:r>
    </w:p>
    <w:p w14:paraId="76EEEF37" w14:textId="6B257FA4" w:rsidR="00F37874" w:rsidRPr="00F37874" w:rsidRDefault="00F37874" w:rsidP="00F37874">
      <w:pPr>
        <w:pStyle w:val="RAN4proposal"/>
      </w:pPr>
      <w:bookmarkStart w:id="10" w:name="_Toc174105055"/>
      <w:r>
        <w:t xml:space="preserve">Co-existence scenarios for PC1 </w:t>
      </w:r>
      <w:r w:rsidR="000A2A05">
        <w:t>should</w:t>
      </w:r>
      <w:r>
        <w:t xml:space="preserve"> consider both </w:t>
      </w:r>
      <w:r w:rsidR="006556BF">
        <w:t>TN UL and NTN UL being the victim.</w:t>
      </w:r>
      <w:bookmarkEnd w:id="10"/>
    </w:p>
    <w:p w14:paraId="57995659" w14:textId="0070BB33" w:rsidR="00BB3872" w:rsidRDefault="00BB3872" w:rsidP="00B72A0C">
      <w:pPr>
        <w:pStyle w:val="RAN4proposal"/>
      </w:pPr>
      <w:bookmarkStart w:id="11" w:name="_Toc174105056"/>
      <w:r w:rsidRPr="009E2FF2">
        <w:t xml:space="preserve">Agree to </w:t>
      </w:r>
      <w:r w:rsidR="00EB2606" w:rsidRPr="009E2FF2">
        <w:t>re</w:t>
      </w:r>
      <w:r w:rsidRPr="009E2FF2">
        <w:t xml:space="preserve">use </w:t>
      </w:r>
      <w:r w:rsidR="00EB2606" w:rsidRPr="009E2FF2">
        <w:t>simulation assumptions and methodology from TR 38.863</w:t>
      </w:r>
      <w:r w:rsidRPr="009E2FF2">
        <w:t>.</w:t>
      </w:r>
      <w:bookmarkEnd w:id="11"/>
    </w:p>
    <w:p w14:paraId="33069E17" w14:textId="2B9986C6" w:rsidR="002746CF" w:rsidRDefault="00805BCD" w:rsidP="00516FC0">
      <w:r>
        <w:t xml:space="preserve">As </w:t>
      </w:r>
      <w:r w:rsidR="002F3AA8">
        <w:t>the co-</w:t>
      </w:r>
      <w:r w:rsidR="00C97981">
        <w:t>existence</w:t>
      </w:r>
      <w:r w:rsidR="002F3AA8">
        <w:t xml:space="preserve"> scenarios </w:t>
      </w:r>
      <w:r w:rsidR="00C97981">
        <w:t xml:space="preserve">are very different for n255 and n256 </w:t>
      </w:r>
      <w:r w:rsidR="002746CF">
        <w:t xml:space="preserve">as </w:t>
      </w:r>
      <w:r w:rsidR="00C97981">
        <w:t xml:space="preserve">compared to </w:t>
      </w:r>
      <w:r w:rsidR="00320DD2">
        <w:t>other</w:t>
      </w:r>
      <w:r w:rsidR="00C97981">
        <w:t xml:space="preserve"> </w:t>
      </w:r>
      <w:r w:rsidR="002746CF">
        <w:t xml:space="preserve">TN NR </w:t>
      </w:r>
      <w:r w:rsidR="00C97981">
        <w:t>bands</w:t>
      </w:r>
      <w:r w:rsidR="00320DD2">
        <w:t xml:space="preserve">, </w:t>
      </w:r>
      <w:r w:rsidR="00381E04">
        <w:t xml:space="preserve">requirements can </w:t>
      </w:r>
      <w:r w:rsidR="00785EFF">
        <w:t xml:space="preserve">only </w:t>
      </w:r>
      <w:r w:rsidR="00381E04">
        <w:t xml:space="preserve">be derived by doing simulations </w:t>
      </w:r>
      <w:r w:rsidR="006B399B">
        <w:t xml:space="preserve">and evaluation. </w:t>
      </w:r>
      <w:r w:rsidR="00381E04">
        <w:t xml:space="preserve"> </w:t>
      </w:r>
    </w:p>
    <w:p w14:paraId="6B15EA9E" w14:textId="2ABBD97F" w:rsidR="002746CF" w:rsidRDefault="002746CF" w:rsidP="00E2487C">
      <w:pPr>
        <w:pStyle w:val="RAN4observation0"/>
      </w:pPr>
      <w:bookmarkStart w:id="12" w:name="_Toc174105057"/>
      <w:r>
        <w:t>C</w:t>
      </w:r>
      <w:r w:rsidRPr="002746CF">
        <w:t xml:space="preserve">o-existence scenarios are very different for n255 and n256 </w:t>
      </w:r>
      <w:r>
        <w:t xml:space="preserve">as </w:t>
      </w:r>
      <w:r w:rsidRPr="002746CF">
        <w:t xml:space="preserve">compared to other </w:t>
      </w:r>
      <w:r w:rsidR="0085645D">
        <w:t xml:space="preserve">TN NR </w:t>
      </w:r>
      <w:r w:rsidRPr="002746CF">
        <w:t>bands</w:t>
      </w:r>
      <w:r w:rsidR="0085645D">
        <w:t>.</w:t>
      </w:r>
      <w:bookmarkEnd w:id="12"/>
    </w:p>
    <w:p w14:paraId="147809B4" w14:textId="3EF8D526" w:rsidR="00516FC0" w:rsidRDefault="006B399B" w:rsidP="00516FC0">
      <w:r>
        <w:t xml:space="preserve">This </w:t>
      </w:r>
      <w:r w:rsidR="00E17A6B">
        <w:t>meaning</w:t>
      </w:r>
      <w:r>
        <w:t xml:space="preserve"> </w:t>
      </w:r>
      <w:r w:rsidR="00381E04">
        <w:t xml:space="preserve">scaling the </w:t>
      </w:r>
      <w:r w:rsidR="00516FC0">
        <w:t>values from TN specification</w:t>
      </w:r>
      <w:r w:rsidR="00E17A6B">
        <w:t xml:space="preserve"> is not a possibility for NTN</w:t>
      </w:r>
      <w:r w:rsidR="00C704D1">
        <w:t xml:space="preserve"> in this case</w:t>
      </w:r>
      <w:r w:rsidR="00516FC0">
        <w:t>.</w:t>
      </w:r>
    </w:p>
    <w:p w14:paraId="604E82B3" w14:textId="5A7D65D8" w:rsidR="009B6384" w:rsidRDefault="009B6384" w:rsidP="00B46DFE">
      <w:pPr>
        <w:pStyle w:val="RAN4proposal"/>
      </w:pPr>
      <w:bookmarkStart w:id="13" w:name="_Toc174105058"/>
      <w:r>
        <w:t xml:space="preserve">Derive the </w:t>
      </w:r>
      <w:r w:rsidR="00B46DFE">
        <w:t xml:space="preserve">requirements via new </w:t>
      </w:r>
      <w:r w:rsidR="00DD0B50">
        <w:t xml:space="preserve">co-existence </w:t>
      </w:r>
      <w:r w:rsidR="00B46DFE">
        <w:t>simulation results</w:t>
      </w:r>
      <w:r w:rsidR="00DD0B50">
        <w:t xml:space="preserve"> only</w:t>
      </w:r>
      <w:r w:rsidR="00B46DFE">
        <w:t>.</w:t>
      </w:r>
      <w:bookmarkEnd w:id="13"/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14" w:name="_Toc116995848"/>
      <w:bookmarkEnd w:id="9"/>
      <w:r w:rsidRPr="00614DD8">
        <w:rPr>
          <w:lang w:val="en-US"/>
        </w:rPr>
        <w:t>Conclusion</w:t>
      </w:r>
      <w:bookmarkEnd w:id="14"/>
    </w:p>
    <w:p w14:paraId="511EEB04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6BC7916A" w14:textId="7DD6CF3E" w:rsidR="009D3D0E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b/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u w:val="single"/>
          <w:lang w:val="en-US"/>
        </w:rPr>
        <w:fldChar w:fldCharType="separate"/>
      </w:r>
      <w:hyperlink w:anchor="_Toc174105053" w:history="1">
        <w:r w:rsidR="009D3D0E" w:rsidRPr="006A1141">
          <w:rPr>
            <w:rStyle w:val="Hyperlink"/>
            <w:b/>
            <w:noProof/>
          </w:rPr>
          <w:t>Observation 1:</w:t>
        </w:r>
        <w:r w:rsidR="009D3D0E" w:rsidRPr="006A1141">
          <w:rPr>
            <w:rStyle w:val="Hyperlink"/>
            <w:noProof/>
          </w:rPr>
          <w:t xml:space="preserve"> The WID specifies evaluation for both ACLR and ACS, thus additional scenarios with NR-NTN and IoT-NTN as the victim must be considered.</w:t>
        </w:r>
      </w:hyperlink>
    </w:p>
    <w:p w14:paraId="62228897" w14:textId="180F2B01" w:rsidR="009D3D0E" w:rsidRDefault="000430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5054" w:history="1">
        <w:r w:rsidR="009D3D0E" w:rsidRPr="006A1141">
          <w:rPr>
            <w:rStyle w:val="Hyperlink"/>
            <w:noProof/>
          </w:rPr>
          <w:t>Proposal 1: Regarding TN-NTN co-existence analysis for PC2 and PC1.5, agree to limit the simulation scenarios to one with TN UL being the victim.</w:t>
        </w:r>
      </w:hyperlink>
    </w:p>
    <w:p w14:paraId="61DEF713" w14:textId="05FA1C26" w:rsidR="009D3D0E" w:rsidRDefault="000430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5055" w:history="1">
        <w:r w:rsidR="009D3D0E" w:rsidRPr="006A1141">
          <w:rPr>
            <w:rStyle w:val="Hyperlink"/>
            <w:noProof/>
          </w:rPr>
          <w:t>Proposal 2: Co-existence scenarios for PC1 should consider both TN UL and NTN UL being the victim.</w:t>
        </w:r>
      </w:hyperlink>
    </w:p>
    <w:p w14:paraId="41B97529" w14:textId="6640BACD" w:rsidR="009D3D0E" w:rsidRDefault="000430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5056" w:history="1">
        <w:r w:rsidR="009D3D0E" w:rsidRPr="006A1141">
          <w:rPr>
            <w:rStyle w:val="Hyperlink"/>
            <w:noProof/>
          </w:rPr>
          <w:t>Proposal 3: Agree to reuse simulation assumptions and methodology from TR 38.863.</w:t>
        </w:r>
      </w:hyperlink>
    </w:p>
    <w:p w14:paraId="02D076E5" w14:textId="4F06C5D2" w:rsidR="009D3D0E" w:rsidRDefault="0004308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5057" w:history="1">
        <w:r w:rsidR="009D3D0E" w:rsidRPr="006A1141">
          <w:rPr>
            <w:rStyle w:val="Hyperlink"/>
            <w:b/>
            <w:noProof/>
          </w:rPr>
          <w:t>Observation 2:</w:t>
        </w:r>
        <w:r w:rsidR="009D3D0E" w:rsidRPr="006A1141">
          <w:rPr>
            <w:rStyle w:val="Hyperlink"/>
            <w:noProof/>
          </w:rPr>
          <w:t xml:space="preserve"> Co-existence scenarios are very different for n255 and n256 as compared to other TN NR bands.</w:t>
        </w:r>
      </w:hyperlink>
    </w:p>
    <w:p w14:paraId="126DF03B" w14:textId="175B00AB" w:rsidR="009D3D0E" w:rsidRDefault="000430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5058" w:history="1">
        <w:r w:rsidR="009D3D0E" w:rsidRPr="006A1141">
          <w:rPr>
            <w:rStyle w:val="Hyperlink"/>
            <w:noProof/>
          </w:rPr>
          <w:t>Proposal 4: Derive the requirements via new co-existence simulation results only.</w:t>
        </w:r>
      </w:hyperlink>
    </w:p>
    <w:p w14:paraId="71BCE1E3" w14:textId="1EA5D464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</w:p>
    <w:p w14:paraId="7632C6E9" w14:textId="77777777" w:rsidR="003B659E" w:rsidRPr="00614DD8" w:rsidRDefault="003B659E" w:rsidP="00DC1330">
      <w:pPr>
        <w:pStyle w:val="RAN4H1"/>
        <w:numPr>
          <w:ilvl w:val="0"/>
          <w:numId w:val="0"/>
        </w:numPr>
        <w:rPr>
          <w:lang w:val="en-US"/>
        </w:rPr>
      </w:pPr>
      <w:bookmarkStart w:id="15" w:name="_Toc116995849"/>
      <w:r w:rsidRPr="00614DD8">
        <w:rPr>
          <w:lang w:val="en-US"/>
        </w:rPr>
        <w:t>References</w:t>
      </w:r>
      <w:bookmarkEnd w:id="15"/>
    </w:p>
    <w:p w14:paraId="73EE0639" w14:textId="3640FA99" w:rsidR="00D9052A" w:rsidRDefault="00BC10D0" w:rsidP="00D9052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6" w:name="_Ref114500673"/>
      <w:bookmarkStart w:id="17" w:name="_Ref173508276"/>
      <w:bookmarkStart w:id="18" w:name="_Ref165543298"/>
      <w:bookmarkEnd w:id="16"/>
      <w:r w:rsidRPr="00614DD8">
        <w:rPr>
          <w:lang w:val="en-US"/>
        </w:rPr>
        <w:t>R</w:t>
      </w:r>
      <w:r>
        <w:rPr>
          <w:lang w:val="en-US"/>
        </w:rPr>
        <w:t>P</w:t>
      </w:r>
      <w:r w:rsidRPr="00614DD8">
        <w:rPr>
          <w:lang w:val="en-US"/>
        </w:rPr>
        <w:t>-</w:t>
      </w:r>
      <w:r>
        <w:rPr>
          <w:lang w:val="en-US"/>
        </w:rPr>
        <w:t>240857,</w:t>
      </w:r>
      <w:r w:rsidRPr="00614DD8">
        <w:rPr>
          <w:lang w:val="en-US"/>
        </w:rPr>
        <w:t xml:space="preserve"> </w:t>
      </w:r>
      <w:r w:rsidRPr="00BD3615">
        <w:rPr>
          <w:lang w:val="en-US"/>
        </w:rPr>
        <w:t>New WID</w:t>
      </w:r>
      <w:r w:rsidRPr="00AF0F3F">
        <w:rPr>
          <w:lang w:val="en-US"/>
        </w:rPr>
        <w:t>: Enhanced requirements and test methodology for NR and IoT NTN</w:t>
      </w:r>
      <w:r w:rsidRPr="00614DD8">
        <w:rPr>
          <w:lang w:val="en-US"/>
        </w:rPr>
        <w:t>, RAN#10</w:t>
      </w:r>
      <w:r>
        <w:rPr>
          <w:lang w:val="en-US"/>
        </w:rPr>
        <w:t>3</w:t>
      </w:r>
      <w:r w:rsidRPr="00614DD8">
        <w:rPr>
          <w:lang w:val="en-US"/>
        </w:rPr>
        <w:t xml:space="preserve">, </w:t>
      </w:r>
      <w:r w:rsidRPr="00AF0F3F">
        <w:rPr>
          <w:lang w:val="en-US"/>
        </w:rPr>
        <w:t>Maastricht, Netherlands, 18-21</w:t>
      </w:r>
      <w:r w:rsidRPr="00614DD8">
        <w:rPr>
          <w:lang w:val="en-US"/>
        </w:rPr>
        <w:t xml:space="preserve"> </w:t>
      </w:r>
      <w:r>
        <w:rPr>
          <w:lang w:val="en-US"/>
        </w:rPr>
        <w:t>March</w:t>
      </w:r>
      <w:r w:rsidRPr="00614DD8">
        <w:rPr>
          <w:lang w:val="en-US"/>
        </w:rPr>
        <w:t xml:space="preserve"> 202</w:t>
      </w:r>
      <w:r>
        <w:rPr>
          <w:lang w:val="en-US"/>
        </w:rPr>
        <w:t>4</w:t>
      </w:r>
      <w:r w:rsidR="00D9052A" w:rsidRPr="00614DD8">
        <w:rPr>
          <w:lang w:val="en-US"/>
        </w:rPr>
        <w:t>.</w:t>
      </w:r>
      <w:bookmarkEnd w:id="17"/>
    </w:p>
    <w:p w14:paraId="0D71AE20" w14:textId="39F74AC9" w:rsidR="00D9052A" w:rsidRPr="00071CAC" w:rsidRDefault="00071CAC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9" w:name="_Ref166227081"/>
      <w:r w:rsidRPr="00071CAC">
        <w:rPr>
          <w:lang w:val="en-US"/>
        </w:rPr>
        <w:t>TR 38.863</w:t>
      </w:r>
      <w:r w:rsidR="00D9052A" w:rsidRPr="00071CAC">
        <w:rPr>
          <w:lang w:val="en-US"/>
        </w:rPr>
        <w:t xml:space="preserve">, </w:t>
      </w:r>
      <w:r w:rsidRPr="00071CAC">
        <w:rPr>
          <w:lang w:val="en-US"/>
        </w:rPr>
        <w:t>Solutions for NR to support non-terrestrial networks (NTN):</w:t>
      </w:r>
      <w:r>
        <w:rPr>
          <w:lang w:val="en-US"/>
        </w:rPr>
        <w:t xml:space="preserve"> </w:t>
      </w:r>
      <w:r w:rsidRPr="00071CAC">
        <w:rPr>
          <w:lang w:val="en-US"/>
        </w:rPr>
        <w:t>Non-terrestrial networks (NTN) related RF and co-existence aspects</w:t>
      </w:r>
      <w:r w:rsidR="00D9052A" w:rsidRPr="00071CAC">
        <w:rPr>
          <w:lang w:val="en-US"/>
        </w:rPr>
        <w:t>.</w:t>
      </w:r>
      <w:bookmarkEnd w:id="18"/>
      <w:bookmarkEnd w:id="19"/>
    </w:p>
    <w:sectPr w:rsidR="00D9052A" w:rsidRPr="00071CAC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AFA12" w14:textId="77777777" w:rsidR="00BD59AB" w:rsidRDefault="00BD59AB" w:rsidP="00001C9B">
      <w:pPr>
        <w:spacing w:after="0" w:line="240" w:lineRule="auto"/>
      </w:pPr>
      <w:r>
        <w:separator/>
      </w:r>
    </w:p>
  </w:endnote>
  <w:endnote w:type="continuationSeparator" w:id="0">
    <w:p w14:paraId="64C67587" w14:textId="77777777" w:rsidR="00BD59AB" w:rsidRDefault="00BD59AB" w:rsidP="00001C9B">
      <w:pPr>
        <w:spacing w:after="0" w:line="240" w:lineRule="auto"/>
      </w:pPr>
      <w:r>
        <w:continuationSeparator/>
      </w:r>
    </w:p>
  </w:endnote>
  <w:endnote w:type="continuationNotice" w:id="1">
    <w:p w14:paraId="51716D56" w14:textId="77777777" w:rsidR="00BD59AB" w:rsidRDefault="00BD59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"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0D852" w14:textId="77777777" w:rsidR="00BD59AB" w:rsidRDefault="00BD59AB" w:rsidP="00001C9B">
      <w:pPr>
        <w:spacing w:after="0" w:line="240" w:lineRule="auto"/>
      </w:pPr>
      <w:r>
        <w:separator/>
      </w:r>
    </w:p>
  </w:footnote>
  <w:footnote w:type="continuationSeparator" w:id="0">
    <w:p w14:paraId="52E720F9" w14:textId="77777777" w:rsidR="00BD59AB" w:rsidRDefault="00BD59AB" w:rsidP="00001C9B">
      <w:pPr>
        <w:spacing w:after="0" w:line="240" w:lineRule="auto"/>
      </w:pPr>
      <w:r>
        <w:continuationSeparator/>
      </w:r>
    </w:p>
  </w:footnote>
  <w:footnote w:type="continuationNotice" w:id="1">
    <w:p w14:paraId="0B06FBDE" w14:textId="77777777" w:rsidR="00BD59AB" w:rsidRDefault="00BD59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19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6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5"/>
  </w:num>
  <w:num w:numId="28" w16cid:durableId="411775096">
    <w:abstractNumId w:val="20"/>
  </w:num>
  <w:num w:numId="29" w16cid:durableId="1049035517">
    <w:abstractNumId w:val="9"/>
  </w:num>
  <w:num w:numId="30" w16cid:durableId="1508253574">
    <w:abstractNumId w:val="10"/>
  </w:num>
  <w:num w:numId="31" w16cid:durableId="1061832381">
    <w:abstractNumId w:val="18"/>
  </w:num>
  <w:num w:numId="32" w16cid:durableId="81419477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2"/>
  </w:num>
  <w:num w:numId="34" w16cid:durableId="1737971265">
    <w:abstractNumId w:val="5"/>
  </w:num>
  <w:num w:numId="35" w16cid:durableId="1302882497">
    <w:abstractNumId w:val="17"/>
  </w:num>
  <w:num w:numId="36" w16cid:durableId="1378701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40DC"/>
    <w:rsid w:val="00005926"/>
    <w:rsid w:val="00011784"/>
    <w:rsid w:val="000151EF"/>
    <w:rsid w:val="000239F5"/>
    <w:rsid w:val="00030D12"/>
    <w:rsid w:val="0003578B"/>
    <w:rsid w:val="00035932"/>
    <w:rsid w:val="00043082"/>
    <w:rsid w:val="00054F7C"/>
    <w:rsid w:val="00071CAC"/>
    <w:rsid w:val="00072CCA"/>
    <w:rsid w:val="0008612A"/>
    <w:rsid w:val="00090E18"/>
    <w:rsid w:val="000A10BC"/>
    <w:rsid w:val="000A2A05"/>
    <w:rsid w:val="000A301E"/>
    <w:rsid w:val="000A497F"/>
    <w:rsid w:val="000A7F53"/>
    <w:rsid w:val="000B0056"/>
    <w:rsid w:val="000C3C7B"/>
    <w:rsid w:val="000D0F93"/>
    <w:rsid w:val="000D5B99"/>
    <w:rsid w:val="0010107E"/>
    <w:rsid w:val="00106416"/>
    <w:rsid w:val="00110481"/>
    <w:rsid w:val="001127C9"/>
    <w:rsid w:val="00114498"/>
    <w:rsid w:val="00115B88"/>
    <w:rsid w:val="0012167D"/>
    <w:rsid w:val="001226F8"/>
    <w:rsid w:val="00132F6A"/>
    <w:rsid w:val="00133913"/>
    <w:rsid w:val="00140221"/>
    <w:rsid w:val="001519D8"/>
    <w:rsid w:val="001622E5"/>
    <w:rsid w:val="001642FC"/>
    <w:rsid w:val="0016496B"/>
    <w:rsid w:val="0017241C"/>
    <w:rsid w:val="001743E2"/>
    <w:rsid w:val="001745F8"/>
    <w:rsid w:val="001838CF"/>
    <w:rsid w:val="001868EE"/>
    <w:rsid w:val="00193A5A"/>
    <w:rsid w:val="001A3BA4"/>
    <w:rsid w:val="001A6577"/>
    <w:rsid w:val="001A6D1F"/>
    <w:rsid w:val="001A724D"/>
    <w:rsid w:val="001B1EA8"/>
    <w:rsid w:val="001B6D2C"/>
    <w:rsid w:val="001D5D69"/>
    <w:rsid w:val="001E30F6"/>
    <w:rsid w:val="001E5C52"/>
    <w:rsid w:val="002033CD"/>
    <w:rsid w:val="00215DCC"/>
    <w:rsid w:val="00217EE5"/>
    <w:rsid w:val="00224EC1"/>
    <w:rsid w:val="00235F5C"/>
    <w:rsid w:val="00246218"/>
    <w:rsid w:val="00257FA3"/>
    <w:rsid w:val="002746CF"/>
    <w:rsid w:val="00277B56"/>
    <w:rsid w:val="00282A74"/>
    <w:rsid w:val="002849D4"/>
    <w:rsid w:val="002943ED"/>
    <w:rsid w:val="00296854"/>
    <w:rsid w:val="002A19F5"/>
    <w:rsid w:val="002B12FE"/>
    <w:rsid w:val="002B4922"/>
    <w:rsid w:val="002B5AD4"/>
    <w:rsid w:val="002B69F3"/>
    <w:rsid w:val="002C22C3"/>
    <w:rsid w:val="002C2D19"/>
    <w:rsid w:val="002D10FA"/>
    <w:rsid w:val="002D4C55"/>
    <w:rsid w:val="002E6DED"/>
    <w:rsid w:val="002F3AA8"/>
    <w:rsid w:val="002F4BE0"/>
    <w:rsid w:val="00300956"/>
    <w:rsid w:val="00312251"/>
    <w:rsid w:val="00317187"/>
    <w:rsid w:val="00320DD2"/>
    <w:rsid w:val="0032499A"/>
    <w:rsid w:val="00333B6D"/>
    <w:rsid w:val="00333BC7"/>
    <w:rsid w:val="003341F7"/>
    <w:rsid w:val="0034066C"/>
    <w:rsid w:val="00347FEC"/>
    <w:rsid w:val="003509DF"/>
    <w:rsid w:val="00355F57"/>
    <w:rsid w:val="00356F45"/>
    <w:rsid w:val="003606F7"/>
    <w:rsid w:val="00366B74"/>
    <w:rsid w:val="00381E04"/>
    <w:rsid w:val="00381F95"/>
    <w:rsid w:val="003909F1"/>
    <w:rsid w:val="003A6FD1"/>
    <w:rsid w:val="003A710A"/>
    <w:rsid w:val="003B0B80"/>
    <w:rsid w:val="003B659E"/>
    <w:rsid w:val="003B6C59"/>
    <w:rsid w:val="003C275E"/>
    <w:rsid w:val="003C4CDE"/>
    <w:rsid w:val="003C4FDE"/>
    <w:rsid w:val="003D0ECA"/>
    <w:rsid w:val="003E58DF"/>
    <w:rsid w:val="00404C4C"/>
    <w:rsid w:val="00412E2E"/>
    <w:rsid w:val="0041423F"/>
    <w:rsid w:val="00414F81"/>
    <w:rsid w:val="00416033"/>
    <w:rsid w:val="00425C06"/>
    <w:rsid w:val="004264AA"/>
    <w:rsid w:val="00436A0F"/>
    <w:rsid w:val="00437150"/>
    <w:rsid w:val="0043750A"/>
    <w:rsid w:val="004439ED"/>
    <w:rsid w:val="00447577"/>
    <w:rsid w:val="00467078"/>
    <w:rsid w:val="004732E9"/>
    <w:rsid w:val="004854BB"/>
    <w:rsid w:val="00494493"/>
    <w:rsid w:val="00496606"/>
    <w:rsid w:val="004A4673"/>
    <w:rsid w:val="004A71D2"/>
    <w:rsid w:val="004C2F76"/>
    <w:rsid w:val="004E5E66"/>
    <w:rsid w:val="004E7ADB"/>
    <w:rsid w:val="00503B4D"/>
    <w:rsid w:val="00504DA4"/>
    <w:rsid w:val="00504EE9"/>
    <w:rsid w:val="00514E4F"/>
    <w:rsid w:val="00516FC0"/>
    <w:rsid w:val="00521576"/>
    <w:rsid w:val="00522356"/>
    <w:rsid w:val="005250E6"/>
    <w:rsid w:val="005256A4"/>
    <w:rsid w:val="00542337"/>
    <w:rsid w:val="00542D23"/>
    <w:rsid w:val="0054442C"/>
    <w:rsid w:val="00550285"/>
    <w:rsid w:val="00562492"/>
    <w:rsid w:val="00572A20"/>
    <w:rsid w:val="005753FC"/>
    <w:rsid w:val="005836F8"/>
    <w:rsid w:val="00586330"/>
    <w:rsid w:val="005918FA"/>
    <w:rsid w:val="00592A86"/>
    <w:rsid w:val="005B3029"/>
    <w:rsid w:val="005B4801"/>
    <w:rsid w:val="005B5717"/>
    <w:rsid w:val="005B6B5C"/>
    <w:rsid w:val="005C0E6E"/>
    <w:rsid w:val="005C23A4"/>
    <w:rsid w:val="005D1CDF"/>
    <w:rsid w:val="005D2BB7"/>
    <w:rsid w:val="005D6FFE"/>
    <w:rsid w:val="005E61A8"/>
    <w:rsid w:val="005F5359"/>
    <w:rsid w:val="005F6419"/>
    <w:rsid w:val="005F6E02"/>
    <w:rsid w:val="0060301D"/>
    <w:rsid w:val="006033FE"/>
    <w:rsid w:val="0060543D"/>
    <w:rsid w:val="006104DD"/>
    <w:rsid w:val="006130B5"/>
    <w:rsid w:val="00614925"/>
    <w:rsid w:val="00614DD8"/>
    <w:rsid w:val="00617400"/>
    <w:rsid w:val="006226C5"/>
    <w:rsid w:val="00632D29"/>
    <w:rsid w:val="006511DF"/>
    <w:rsid w:val="006556BF"/>
    <w:rsid w:val="0065710E"/>
    <w:rsid w:val="00664950"/>
    <w:rsid w:val="006802A3"/>
    <w:rsid w:val="00683220"/>
    <w:rsid w:val="00687FA0"/>
    <w:rsid w:val="006A3C11"/>
    <w:rsid w:val="006B29A0"/>
    <w:rsid w:val="006B399B"/>
    <w:rsid w:val="006B6702"/>
    <w:rsid w:val="006B7010"/>
    <w:rsid w:val="006C3095"/>
    <w:rsid w:val="006D1BA9"/>
    <w:rsid w:val="006E1151"/>
    <w:rsid w:val="006E23CF"/>
    <w:rsid w:val="006E6311"/>
    <w:rsid w:val="00704C09"/>
    <w:rsid w:val="007145FF"/>
    <w:rsid w:val="00715B2A"/>
    <w:rsid w:val="00716029"/>
    <w:rsid w:val="00722C07"/>
    <w:rsid w:val="00733B21"/>
    <w:rsid w:val="0073545A"/>
    <w:rsid w:val="007450F1"/>
    <w:rsid w:val="00751515"/>
    <w:rsid w:val="00755D32"/>
    <w:rsid w:val="007616D8"/>
    <w:rsid w:val="007626B7"/>
    <w:rsid w:val="0078212B"/>
    <w:rsid w:val="00784DF6"/>
    <w:rsid w:val="00785232"/>
    <w:rsid w:val="00785EFF"/>
    <w:rsid w:val="00797729"/>
    <w:rsid w:val="007A56FE"/>
    <w:rsid w:val="007B186C"/>
    <w:rsid w:val="007B499E"/>
    <w:rsid w:val="007B717F"/>
    <w:rsid w:val="007C1696"/>
    <w:rsid w:val="007C3ED0"/>
    <w:rsid w:val="007C48C4"/>
    <w:rsid w:val="007C562D"/>
    <w:rsid w:val="007C5971"/>
    <w:rsid w:val="007E42DC"/>
    <w:rsid w:val="007F54B9"/>
    <w:rsid w:val="00805BCD"/>
    <w:rsid w:val="00806A76"/>
    <w:rsid w:val="00811C9D"/>
    <w:rsid w:val="00816C80"/>
    <w:rsid w:val="0081797B"/>
    <w:rsid w:val="00841BCD"/>
    <w:rsid w:val="00846760"/>
    <w:rsid w:val="00847264"/>
    <w:rsid w:val="00850685"/>
    <w:rsid w:val="00851A8E"/>
    <w:rsid w:val="0085365B"/>
    <w:rsid w:val="0085645D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068ED"/>
    <w:rsid w:val="00927740"/>
    <w:rsid w:val="00936159"/>
    <w:rsid w:val="009462CF"/>
    <w:rsid w:val="009774B3"/>
    <w:rsid w:val="00977E1D"/>
    <w:rsid w:val="00997EF7"/>
    <w:rsid w:val="009B0573"/>
    <w:rsid w:val="009B5DE1"/>
    <w:rsid w:val="009B6384"/>
    <w:rsid w:val="009B7B4B"/>
    <w:rsid w:val="009B7C21"/>
    <w:rsid w:val="009C2CDB"/>
    <w:rsid w:val="009D3D0E"/>
    <w:rsid w:val="009E2FF2"/>
    <w:rsid w:val="009E4E6E"/>
    <w:rsid w:val="00A04992"/>
    <w:rsid w:val="00A04A4A"/>
    <w:rsid w:val="00A147AA"/>
    <w:rsid w:val="00A21D71"/>
    <w:rsid w:val="00A22B78"/>
    <w:rsid w:val="00A246F7"/>
    <w:rsid w:val="00A25AE5"/>
    <w:rsid w:val="00A25BE7"/>
    <w:rsid w:val="00A26442"/>
    <w:rsid w:val="00A37002"/>
    <w:rsid w:val="00A4355E"/>
    <w:rsid w:val="00A520D9"/>
    <w:rsid w:val="00A64DA0"/>
    <w:rsid w:val="00A73B72"/>
    <w:rsid w:val="00A81EE5"/>
    <w:rsid w:val="00A92BCD"/>
    <w:rsid w:val="00AA1B0E"/>
    <w:rsid w:val="00AA47B6"/>
    <w:rsid w:val="00AC163B"/>
    <w:rsid w:val="00AC5CA7"/>
    <w:rsid w:val="00AC6058"/>
    <w:rsid w:val="00AD19F4"/>
    <w:rsid w:val="00AD59B4"/>
    <w:rsid w:val="00AE2BA5"/>
    <w:rsid w:val="00AE56B1"/>
    <w:rsid w:val="00AE6D09"/>
    <w:rsid w:val="00AF7A7C"/>
    <w:rsid w:val="00B02070"/>
    <w:rsid w:val="00B21F6D"/>
    <w:rsid w:val="00B408B6"/>
    <w:rsid w:val="00B46DFE"/>
    <w:rsid w:val="00B513DE"/>
    <w:rsid w:val="00B5266B"/>
    <w:rsid w:val="00B542DA"/>
    <w:rsid w:val="00B72A0C"/>
    <w:rsid w:val="00B73862"/>
    <w:rsid w:val="00B73F43"/>
    <w:rsid w:val="00B75BBF"/>
    <w:rsid w:val="00B81CDC"/>
    <w:rsid w:val="00BA1E12"/>
    <w:rsid w:val="00BA308C"/>
    <w:rsid w:val="00BA6B66"/>
    <w:rsid w:val="00BA6E48"/>
    <w:rsid w:val="00BB3872"/>
    <w:rsid w:val="00BB4EC9"/>
    <w:rsid w:val="00BB5688"/>
    <w:rsid w:val="00BC10D0"/>
    <w:rsid w:val="00BC1128"/>
    <w:rsid w:val="00BC255F"/>
    <w:rsid w:val="00BD3615"/>
    <w:rsid w:val="00BD59AB"/>
    <w:rsid w:val="00BE0AF6"/>
    <w:rsid w:val="00BE1F03"/>
    <w:rsid w:val="00BE58A7"/>
    <w:rsid w:val="00BF2218"/>
    <w:rsid w:val="00BF78CD"/>
    <w:rsid w:val="00C0426B"/>
    <w:rsid w:val="00C045DF"/>
    <w:rsid w:val="00C14FB2"/>
    <w:rsid w:val="00C26D43"/>
    <w:rsid w:val="00C3041A"/>
    <w:rsid w:val="00C35173"/>
    <w:rsid w:val="00C46548"/>
    <w:rsid w:val="00C574D5"/>
    <w:rsid w:val="00C6352A"/>
    <w:rsid w:val="00C704D1"/>
    <w:rsid w:val="00C73F32"/>
    <w:rsid w:val="00C87462"/>
    <w:rsid w:val="00C95BF6"/>
    <w:rsid w:val="00C97981"/>
    <w:rsid w:val="00CA180C"/>
    <w:rsid w:val="00CA3C58"/>
    <w:rsid w:val="00CA3D65"/>
    <w:rsid w:val="00CB22B2"/>
    <w:rsid w:val="00CC3EE2"/>
    <w:rsid w:val="00CC6581"/>
    <w:rsid w:val="00CD7492"/>
    <w:rsid w:val="00CE3A6B"/>
    <w:rsid w:val="00CE4B4D"/>
    <w:rsid w:val="00CF3DD4"/>
    <w:rsid w:val="00D00211"/>
    <w:rsid w:val="00D006D1"/>
    <w:rsid w:val="00D025AE"/>
    <w:rsid w:val="00D05B6C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0688"/>
    <w:rsid w:val="00D731F6"/>
    <w:rsid w:val="00D740CA"/>
    <w:rsid w:val="00D85728"/>
    <w:rsid w:val="00D87011"/>
    <w:rsid w:val="00D9052A"/>
    <w:rsid w:val="00D95481"/>
    <w:rsid w:val="00D96083"/>
    <w:rsid w:val="00DC1330"/>
    <w:rsid w:val="00DC7A13"/>
    <w:rsid w:val="00DD0B50"/>
    <w:rsid w:val="00DE7064"/>
    <w:rsid w:val="00DF2997"/>
    <w:rsid w:val="00DF76C5"/>
    <w:rsid w:val="00E0045D"/>
    <w:rsid w:val="00E10BC4"/>
    <w:rsid w:val="00E1415D"/>
    <w:rsid w:val="00E17A6B"/>
    <w:rsid w:val="00E213BD"/>
    <w:rsid w:val="00E21459"/>
    <w:rsid w:val="00E234C1"/>
    <w:rsid w:val="00E2487C"/>
    <w:rsid w:val="00E323E9"/>
    <w:rsid w:val="00E32FB6"/>
    <w:rsid w:val="00E34018"/>
    <w:rsid w:val="00E3512E"/>
    <w:rsid w:val="00E42AE1"/>
    <w:rsid w:val="00E437D2"/>
    <w:rsid w:val="00E43BF9"/>
    <w:rsid w:val="00E449D7"/>
    <w:rsid w:val="00E45EA8"/>
    <w:rsid w:val="00E47BC6"/>
    <w:rsid w:val="00E51930"/>
    <w:rsid w:val="00E55751"/>
    <w:rsid w:val="00E62948"/>
    <w:rsid w:val="00E7398E"/>
    <w:rsid w:val="00E76EFE"/>
    <w:rsid w:val="00E82B94"/>
    <w:rsid w:val="00E906AB"/>
    <w:rsid w:val="00EA2311"/>
    <w:rsid w:val="00EA6133"/>
    <w:rsid w:val="00EB2606"/>
    <w:rsid w:val="00EC7BC3"/>
    <w:rsid w:val="00ED073B"/>
    <w:rsid w:val="00ED7600"/>
    <w:rsid w:val="00EF6073"/>
    <w:rsid w:val="00EF698B"/>
    <w:rsid w:val="00F06CC4"/>
    <w:rsid w:val="00F1362C"/>
    <w:rsid w:val="00F37874"/>
    <w:rsid w:val="00F414F1"/>
    <w:rsid w:val="00F508B8"/>
    <w:rsid w:val="00F72CB1"/>
    <w:rsid w:val="00F8215E"/>
    <w:rsid w:val="00F824F5"/>
    <w:rsid w:val="00F90FAB"/>
    <w:rsid w:val="00F9220A"/>
    <w:rsid w:val="00F9374D"/>
    <w:rsid w:val="00FA3179"/>
    <w:rsid w:val="00FC29B9"/>
    <w:rsid w:val="00FC6FD3"/>
    <w:rsid w:val="00FD496E"/>
    <w:rsid w:val="00FE19AC"/>
    <w:rsid w:val="00FE305C"/>
    <w:rsid w:val="00FF0301"/>
    <w:rsid w:val="00FF16CA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" w:hAnsi="@SimSun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256A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2024-08-09T13:57:00Z</dcterms:created>
  <dcterms:modified xsi:type="dcterms:W3CDTF">2024-08-09T13:57:00Z</dcterms:modified>
</cp:coreProperties>
</file>